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C28C3" w14:textId="155FB756" w:rsidR="00EB33E0" w:rsidRDefault="00C94AC9">
      <w:pPr>
        <w:rPr>
          <w:sz w:val="48"/>
          <w:szCs w:val="48"/>
        </w:rPr>
      </w:pPr>
      <w:r w:rsidRPr="00C94AC9">
        <w:rPr>
          <w:sz w:val="48"/>
          <w:szCs w:val="48"/>
        </w:rPr>
        <w:t>Portfolio Assessment Rubric</w:t>
      </w:r>
      <w:r w:rsidR="00A9295A">
        <w:rPr>
          <w:sz w:val="48"/>
          <w:szCs w:val="48"/>
        </w:rPr>
        <w:t xml:space="preserve"> for Course Challenges to Obtain Prior Learning Credit (PLC) at SUNY Buffalo State towards the MPA and the Graduate Certificate in Public Management</w:t>
      </w:r>
    </w:p>
    <w:tbl>
      <w:tblPr>
        <w:tblStyle w:val="TableGrid"/>
        <w:tblW w:w="0" w:type="auto"/>
        <w:tblLook w:val="04A0" w:firstRow="1" w:lastRow="0" w:firstColumn="1" w:lastColumn="0" w:noHBand="0" w:noVBand="1"/>
      </w:tblPr>
      <w:tblGrid>
        <w:gridCol w:w="2145"/>
        <w:gridCol w:w="3345"/>
        <w:gridCol w:w="3420"/>
        <w:gridCol w:w="3330"/>
        <w:gridCol w:w="4050"/>
        <w:gridCol w:w="3600"/>
        <w:gridCol w:w="1260"/>
      </w:tblGrid>
      <w:tr w:rsidR="009852DA" w14:paraId="5F47417C" w14:textId="77777777" w:rsidTr="005608FB">
        <w:trPr>
          <w:tblHeader/>
        </w:trPr>
        <w:tc>
          <w:tcPr>
            <w:tcW w:w="1870" w:type="dxa"/>
            <w:shd w:val="clear" w:color="auto" w:fill="4C94D8" w:themeFill="text2" w:themeFillTint="80"/>
          </w:tcPr>
          <w:p w14:paraId="3C9226EE" w14:textId="655DEF01" w:rsidR="00C94AC9" w:rsidRPr="0071664A" w:rsidRDefault="00A253F6">
            <w:pPr>
              <w:rPr>
                <w:color w:val="FFFFFF" w:themeColor="background1"/>
                <w:sz w:val="28"/>
                <w:szCs w:val="28"/>
              </w:rPr>
            </w:pPr>
            <w:r w:rsidRPr="0071664A">
              <w:rPr>
                <w:color w:val="FFFFFF" w:themeColor="background1"/>
                <w:sz w:val="28"/>
                <w:szCs w:val="28"/>
              </w:rPr>
              <w:t>Category</w:t>
            </w:r>
          </w:p>
        </w:tc>
        <w:tc>
          <w:tcPr>
            <w:tcW w:w="3345" w:type="dxa"/>
            <w:shd w:val="clear" w:color="auto" w:fill="4C94D8" w:themeFill="text2" w:themeFillTint="80"/>
          </w:tcPr>
          <w:p w14:paraId="4DEC5EE3" w14:textId="623592B5" w:rsidR="00C94AC9" w:rsidRPr="0071664A" w:rsidRDefault="00143B44">
            <w:pPr>
              <w:rPr>
                <w:color w:val="FFFFFF" w:themeColor="background1"/>
                <w:sz w:val="28"/>
                <w:szCs w:val="28"/>
              </w:rPr>
            </w:pPr>
            <w:r w:rsidRPr="0071664A">
              <w:rPr>
                <w:color w:val="FFFFFF" w:themeColor="background1"/>
                <w:sz w:val="28"/>
                <w:szCs w:val="28"/>
              </w:rPr>
              <w:t>Zero</w:t>
            </w:r>
          </w:p>
        </w:tc>
        <w:tc>
          <w:tcPr>
            <w:tcW w:w="3420" w:type="dxa"/>
            <w:shd w:val="clear" w:color="auto" w:fill="4C94D8" w:themeFill="text2" w:themeFillTint="80"/>
          </w:tcPr>
          <w:p w14:paraId="00010FEC" w14:textId="72D577C4" w:rsidR="00C94AC9" w:rsidRPr="0071664A" w:rsidRDefault="00143B44">
            <w:pPr>
              <w:rPr>
                <w:color w:val="FFFFFF" w:themeColor="background1"/>
                <w:sz w:val="28"/>
                <w:szCs w:val="28"/>
              </w:rPr>
            </w:pPr>
            <w:r w:rsidRPr="0071664A">
              <w:rPr>
                <w:color w:val="FFFFFF" w:themeColor="background1"/>
                <w:sz w:val="28"/>
                <w:szCs w:val="28"/>
              </w:rPr>
              <w:t>One</w:t>
            </w:r>
          </w:p>
        </w:tc>
        <w:tc>
          <w:tcPr>
            <w:tcW w:w="3330" w:type="dxa"/>
            <w:shd w:val="clear" w:color="auto" w:fill="4C94D8" w:themeFill="text2" w:themeFillTint="80"/>
          </w:tcPr>
          <w:p w14:paraId="43CC81F6" w14:textId="5AF9EE16" w:rsidR="00C94AC9" w:rsidRPr="0071664A" w:rsidRDefault="00143B44">
            <w:pPr>
              <w:rPr>
                <w:color w:val="FFFFFF" w:themeColor="background1"/>
                <w:sz w:val="28"/>
                <w:szCs w:val="28"/>
              </w:rPr>
            </w:pPr>
            <w:r w:rsidRPr="0071664A">
              <w:rPr>
                <w:color w:val="FFFFFF" w:themeColor="background1"/>
                <w:sz w:val="28"/>
                <w:szCs w:val="28"/>
              </w:rPr>
              <w:t>Two</w:t>
            </w:r>
          </w:p>
        </w:tc>
        <w:tc>
          <w:tcPr>
            <w:tcW w:w="4050" w:type="dxa"/>
            <w:shd w:val="clear" w:color="auto" w:fill="4C94D8" w:themeFill="text2" w:themeFillTint="80"/>
          </w:tcPr>
          <w:p w14:paraId="17A2A12C" w14:textId="70D6E880" w:rsidR="00C94AC9" w:rsidRPr="0071664A" w:rsidRDefault="0071664A">
            <w:pPr>
              <w:rPr>
                <w:color w:val="FFFFFF" w:themeColor="background1"/>
                <w:sz w:val="28"/>
                <w:szCs w:val="28"/>
              </w:rPr>
            </w:pPr>
            <w:r w:rsidRPr="0071664A">
              <w:rPr>
                <w:color w:val="FFFFFF" w:themeColor="background1"/>
                <w:sz w:val="28"/>
                <w:szCs w:val="28"/>
              </w:rPr>
              <w:t>Three</w:t>
            </w:r>
          </w:p>
        </w:tc>
        <w:tc>
          <w:tcPr>
            <w:tcW w:w="3600" w:type="dxa"/>
            <w:shd w:val="clear" w:color="auto" w:fill="4C94D8" w:themeFill="text2" w:themeFillTint="80"/>
          </w:tcPr>
          <w:p w14:paraId="550DDE6A" w14:textId="48CF83DB" w:rsidR="00C94AC9" w:rsidRPr="0071664A" w:rsidRDefault="0071664A">
            <w:pPr>
              <w:rPr>
                <w:color w:val="FFFFFF" w:themeColor="background1"/>
                <w:sz w:val="28"/>
                <w:szCs w:val="28"/>
              </w:rPr>
            </w:pPr>
            <w:r w:rsidRPr="0071664A">
              <w:rPr>
                <w:color w:val="FFFFFF" w:themeColor="background1"/>
                <w:sz w:val="28"/>
                <w:szCs w:val="28"/>
              </w:rPr>
              <w:t>Four</w:t>
            </w:r>
          </w:p>
        </w:tc>
        <w:tc>
          <w:tcPr>
            <w:tcW w:w="1260" w:type="dxa"/>
            <w:shd w:val="clear" w:color="auto" w:fill="4C94D8" w:themeFill="text2" w:themeFillTint="80"/>
          </w:tcPr>
          <w:p w14:paraId="101A62A6" w14:textId="35512BC4" w:rsidR="00C94AC9" w:rsidRPr="00A253F6" w:rsidRDefault="0071664A">
            <w:pPr>
              <w:rPr>
                <w:sz w:val="28"/>
                <w:szCs w:val="28"/>
              </w:rPr>
            </w:pPr>
            <w:r w:rsidRPr="0071664A">
              <w:rPr>
                <w:color w:val="FFFFFF" w:themeColor="background1"/>
                <w:sz w:val="28"/>
                <w:szCs w:val="28"/>
              </w:rPr>
              <w:t>Score</w:t>
            </w:r>
          </w:p>
        </w:tc>
      </w:tr>
      <w:tr w:rsidR="005608FB" w:rsidRPr="00FF4C80" w14:paraId="1267640A" w14:textId="77777777" w:rsidTr="005608FB">
        <w:tc>
          <w:tcPr>
            <w:tcW w:w="1870" w:type="dxa"/>
          </w:tcPr>
          <w:p w14:paraId="4BA82151" w14:textId="51D6CF64" w:rsidR="00C94AC9" w:rsidRPr="00FF4C80" w:rsidRDefault="004003DF">
            <w:pPr>
              <w:rPr>
                <w:b/>
                <w:bCs/>
                <w:sz w:val="28"/>
                <w:szCs w:val="28"/>
              </w:rPr>
            </w:pPr>
            <w:r w:rsidRPr="00FF4C80">
              <w:rPr>
                <w:b/>
                <w:bCs/>
                <w:sz w:val="28"/>
                <w:szCs w:val="28"/>
              </w:rPr>
              <w:t>Course Outcomes Identified and Addressed</w:t>
            </w:r>
          </w:p>
        </w:tc>
        <w:tc>
          <w:tcPr>
            <w:tcW w:w="3345" w:type="dxa"/>
          </w:tcPr>
          <w:p w14:paraId="0C12F027" w14:textId="038D6CB9" w:rsidR="00C94AC9" w:rsidRPr="00FF4C80" w:rsidRDefault="00BC59EB">
            <w:pPr>
              <w:rPr>
                <w:sz w:val="28"/>
                <w:szCs w:val="28"/>
              </w:rPr>
            </w:pPr>
            <w:r w:rsidRPr="00FF4C80">
              <w:rPr>
                <w:sz w:val="28"/>
                <w:szCs w:val="28"/>
              </w:rPr>
              <w:t xml:space="preserve">Narrative and supporting document </w:t>
            </w:r>
            <w:r w:rsidR="00AC3940" w:rsidRPr="00FF4C80">
              <w:rPr>
                <w:sz w:val="28"/>
                <w:szCs w:val="28"/>
              </w:rPr>
              <w:t>do not demonstrate a mastery of the course outcomes.  Portfolio addresses less than 50% of the course outcomes.</w:t>
            </w:r>
          </w:p>
        </w:tc>
        <w:tc>
          <w:tcPr>
            <w:tcW w:w="3420" w:type="dxa"/>
          </w:tcPr>
          <w:p w14:paraId="4D93C5D5" w14:textId="5389516F" w:rsidR="00C94AC9" w:rsidRPr="00FF4C80" w:rsidRDefault="00013DF8">
            <w:pPr>
              <w:rPr>
                <w:sz w:val="28"/>
                <w:szCs w:val="28"/>
              </w:rPr>
            </w:pPr>
            <w:r w:rsidRPr="00FF4C80">
              <w:rPr>
                <w:sz w:val="28"/>
                <w:szCs w:val="28"/>
              </w:rPr>
              <w:t xml:space="preserve">Narrative and supporting document do not demonstrate a mastery of the course outcomes.  Portfolio addresses </w:t>
            </w:r>
            <w:r w:rsidR="00E76A4C" w:rsidRPr="00FF4C80">
              <w:rPr>
                <w:sz w:val="28"/>
                <w:szCs w:val="28"/>
              </w:rPr>
              <w:t>fewer than</w:t>
            </w:r>
            <w:r w:rsidRPr="00FF4C80">
              <w:rPr>
                <w:sz w:val="28"/>
                <w:szCs w:val="28"/>
              </w:rPr>
              <w:t xml:space="preserve"> 60% of the course outcomes.</w:t>
            </w:r>
          </w:p>
        </w:tc>
        <w:tc>
          <w:tcPr>
            <w:tcW w:w="3330" w:type="dxa"/>
          </w:tcPr>
          <w:p w14:paraId="39196907" w14:textId="112EF8E9" w:rsidR="00C94AC9" w:rsidRPr="00FF4C80" w:rsidRDefault="00546942">
            <w:pPr>
              <w:rPr>
                <w:sz w:val="28"/>
                <w:szCs w:val="28"/>
              </w:rPr>
            </w:pPr>
            <w:r w:rsidRPr="00FF4C80">
              <w:rPr>
                <w:sz w:val="28"/>
                <w:szCs w:val="28"/>
              </w:rPr>
              <w:t xml:space="preserve">Narrative and supporting document </w:t>
            </w:r>
            <w:r w:rsidR="00E76A4C" w:rsidRPr="00FF4C80">
              <w:rPr>
                <w:sz w:val="28"/>
                <w:szCs w:val="28"/>
              </w:rPr>
              <w:t>support the satisfactor</w:t>
            </w:r>
            <w:r w:rsidR="001640ED" w:rsidRPr="00FF4C80">
              <w:rPr>
                <w:sz w:val="28"/>
                <w:szCs w:val="28"/>
              </w:rPr>
              <w:t>y</w:t>
            </w:r>
            <w:r w:rsidRPr="00FF4C80">
              <w:rPr>
                <w:sz w:val="28"/>
                <w:szCs w:val="28"/>
              </w:rPr>
              <w:t xml:space="preserve"> mastery of </w:t>
            </w:r>
            <w:r w:rsidR="001640ED" w:rsidRPr="00FF4C80">
              <w:rPr>
                <w:sz w:val="28"/>
                <w:szCs w:val="28"/>
              </w:rPr>
              <w:t>at least 60% of the course outcomes.</w:t>
            </w:r>
          </w:p>
        </w:tc>
        <w:tc>
          <w:tcPr>
            <w:tcW w:w="4050" w:type="dxa"/>
          </w:tcPr>
          <w:p w14:paraId="1EDEF38F" w14:textId="0DD62CAD" w:rsidR="00C94AC9" w:rsidRPr="00FF4C80" w:rsidRDefault="001640ED">
            <w:pPr>
              <w:rPr>
                <w:sz w:val="28"/>
                <w:szCs w:val="28"/>
              </w:rPr>
            </w:pPr>
            <w:r w:rsidRPr="00FF4C80">
              <w:rPr>
                <w:sz w:val="28"/>
                <w:szCs w:val="28"/>
              </w:rPr>
              <w:t xml:space="preserve"> Narrative and supporting document support the satisfactory mastery of at least </w:t>
            </w:r>
            <w:r w:rsidR="00B241EB" w:rsidRPr="00FF4C80">
              <w:rPr>
                <w:sz w:val="28"/>
                <w:szCs w:val="28"/>
              </w:rPr>
              <w:t>75</w:t>
            </w:r>
            <w:r w:rsidRPr="00FF4C80">
              <w:rPr>
                <w:sz w:val="28"/>
                <w:szCs w:val="28"/>
              </w:rPr>
              <w:t>% of the course outcomes.</w:t>
            </w:r>
          </w:p>
        </w:tc>
        <w:tc>
          <w:tcPr>
            <w:tcW w:w="3600" w:type="dxa"/>
          </w:tcPr>
          <w:p w14:paraId="6A326966" w14:textId="6E22A8C8" w:rsidR="00C94AC9" w:rsidRPr="00FF4C80" w:rsidRDefault="00B241EB">
            <w:pPr>
              <w:rPr>
                <w:sz w:val="28"/>
                <w:szCs w:val="28"/>
              </w:rPr>
            </w:pPr>
            <w:r w:rsidRPr="00FF4C80">
              <w:rPr>
                <w:sz w:val="28"/>
                <w:szCs w:val="28"/>
              </w:rPr>
              <w:t>Narrative and supporting document</w:t>
            </w:r>
            <w:r w:rsidR="00444D15">
              <w:rPr>
                <w:sz w:val="28"/>
                <w:szCs w:val="28"/>
              </w:rPr>
              <w:t>ation</w:t>
            </w:r>
            <w:r w:rsidRPr="00FF4C80">
              <w:rPr>
                <w:sz w:val="28"/>
                <w:szCs w:val="28"/>
              </w:rPr>
              <w:t xml:space="preserve"> </w:t>
            </w:r>
            <w:r w:rsidR="00B93CC3" w:rsidRPr="00FF4C80">
              <w:rPr>
                <w:sz w:val="28"/>
                <w:szCs w:val="28"/>
              </w:rPr>
              <w:t>demonstrate mastery of all course outcomes</w:t>
            </w:r>
            <w:r w:rsidRPr="00FF4C80">
              <w:rPr>
                <w:sz w:val="28"/>
                <w:szCs w:val="28"/>
              </w:rPr>
              <w:t>.</w:t>
            </w:r>
          </w:p>
        </w:tc>
        <w:tc>
          <w:tcPr>
            <w:tcW w:w="1260" w:type="dxa"/>
          </w:tcPr>
          <w:p w14:paraId="2B024D97" w14:textId="77777777" w:rsidR="00C94AC9" w:rsidRPr="00FF4C80" w:rsidRDefault="00C94AC9">
            <w:pPr>
              <w:rPr>
                <w:sz w:val="28"/>
                <w:szCs w:val="28"/>
              </w:rPr>
            </w:pPr>
          </w:p>
        </w:tc>
      </w:tr>
      <w:tr w:rsidR="005608FB" w:rsidRPr="00FF4C80" w14:paraId="3463F2FE" w14:textId="77777777" w:rsidTr="005608FB">
        <w:tc>
          <w:tcPr>
            <w:tcW w:w="1870" w:type="dxa"/>
          </w:tcPr>
          <w:p w14:paraId="2375805E" w14:textId="53339744" w:rsidR="00C94AC9" w:rsidRPr="00FF4C80" w:rsidRDefault="004003DF">
            <w:pPr>
              <w:rPr>
                <w:b/>
                <w:bCs/>
                <w:sz w:val="28"/>
                <w:szCs w:val="28"/>
              </w:rPr>
            </w:pPr>
            <w:r w:rsidRPr="00FF4C80">
              <w:rPr>
                <w:b/>
                <w:bCs/>
                <w:sz w:val="28"/>
                <w:szCs w:val="28"/>
              </w:rPr>
              <w:t>Learning from Experience</w:t>
            </w:r>
          </w:p>
        </w:tc>
        <w:tc>
          <w:tcPr>
            <w:tcW w:w="3345" w:type="dxa"/>
          </w:tcPr>
          <w:p w14:paraId="6DCA5A7B" w14:textId="60CC3DCF" w:rsidR="00C94AC9" w:rsidRPr="00FF4C80" w:rsidRDefault="00AC3940">
            <w:pPr>
              <w:rPr>
                <w:sz w:val="28"/>
                <w:szCs w:val="28"/>
              </w:rPr>
            </w:pPr>
            <w:r w:rsidRPr="00FF4C80">
              <w:rPr>
                <w:sz w:val="28"/>
                <w:szCs w:val="28"/>
              </w:rPr>
              <w:t xml:space="preserve">Student does not understand and cannot articulate how work and life experience </w:t>
            </w:r>
            <w:r w:rsidR="00755326" w:rsidRPr="00FF4C80">
              <w:rPr>
                <w:sz w:val="28"/>
                <w:szCs w:val="28"/>
              </w:rPr>
              <w:t>meet</w:t>
            </w:r>
            <w:r w:rsidRPr="00FF4C80">
              <w:rPr>
                <w:sz w:val="28"/>
                <w:szCs w:val="28"/>
              </w:rPr>
              <w:t xml:space="preserve"> college-level learning.</w:t>
            </w:r>
          </w:p>
        </w:tc>
        <w:tc>
          <w:tcPr>
            <w:tcW w:w="3420" w:type="dxa"/>
          </w:tcPr>
          <w:p w14:paraId="06FE13B4" w14:textId="6185CAD2" w:rsidR="00C94AC9" w:rsidRPr="00FF4C80" w:rsidRDefault="00B93CC3">
            <w:pPr>
              <w:rPr>
                <w:sz w:val="28"/>
                <w:szCs w:val="28"/>
              </w:rPr>
            </w:pPr>
            <w:r w:rsidRPr="00FF4C80">
              <w:rPr>
                <w:sz w:val="28"/>
                <w:szCs w:val="28"/>
              </w:rPr>
              <w:t>Student conflates experience of technical practice with mastery.  Student argues, for example, that length of time in a position is equivalent to  college-level learning.</w:t>
            </w:r>
          </w:p>
        </w:tc>
        <w:tc>
          <w:tcPr>
            <w:tcW w:w="3330" w:type="dxa"/>
          </w:tcPr>
          <w:p w14:paraId="5C468CF9" w14:textId="6C16EB35" w:rsidR="00C94AC9" w:rsidRPr="00FF4C80" w:rsidRDefault="003826B7">
            <w:pPr>
              <w:rPr>
                <w:sz w:val="28"/>
                <w:szCs w:val="28"/>
              </w:rPr>
            </w:pPr>
            <w:r w:rsidRPr="00FF4C80">
              <w:rPr>
                <w:sz w:val="28"/>
                <w:szCs w:val="28"/>
              </w:rPr>
              <w:t>Student demonstrates</w:t>
            </w:r>
            <w:r w:rsidR="00392160" w:rsidRPr="00FF4C80">
              <w:rPr>
                <w:sz w:val="28"/>
                <w:szCs w:val="28"/>
              </w:rPr>
              <w:t xml:space="preserve"> understanding of how experience and learning are linked, but provides few, if any, concrete examples of where this happened in their experience.</w:t>
            </w:r>
          </w:p>
        </w:tc>
        <w:tc>
          <w:tcPr>
            <w:tcW w:w="4050" w:type="dxa"/>
          </w:tcPr>
          <w:p w14:paraId="199B0939" w14:textId="0DBF1899" w:rsidR="00C94AC9" w:rsidRPr="00FF4C80" w:rsidRDefault="00A345C2">
            <w:pPr>
              <w:rPr>
                <w:sz w:val="28"/>
                <w:szCs w:val="28"/>
              </w:rPr>
            </w:pPr>
            <w:r w:rsidRPr="00FF4C80">
              <w:rPr>
                <w:sz w:val="28"/>
                <w:szCs w:val="28"/>
              </w:rPr>
              <w:t xml:space="preserve">Student describes learning separately from experiences that led to </w:t>
            </w:r>
            <w:r w:rsidR="00F056E5" w:rsidRPr="00FF4C80">
              <w:rPr>
                <w:sz w:val="28"/>
                <w:szCs w:val="28"/>
              </w:rPr>
              <w:t>learning</w:t>
            </w:r>
            <w:r w:rsidRPr="00FF4C80">
              <w:rPr>
                <w:sz w:val="28"/>
                <w:szCs w:val="28"/>
              </w:rPr>
              <w:t xml:space="preserve"> but gives limited concrete examples.</w:t>
            </w:r>
          </w:p>
        </w:tc>
        <w:tc>
          <w:tcPr>
            <w:tcW w:w="3600" w:type="dxa"/>
          </w:tcPr>
          <w:p w14:paraId="6BBD7E3C" w14:textId="1293A7DE" w:rsidR="00C94AC9" w:rsidRPr="00FF4C80" w:rsidRDefault="00824F4B">
            <w:pPr>
              <w:rPr>
                <w:sz w:val="28"/>
                <w:szCs w:val="28"/>
              </w:rPr>
            </w:pPr>
            <w:r w:rsidRPr="00FF4C80">
              <w:rPr>
                <w:sz w:val="28"/>
                <w:szCs w:val="28"/>
              </w:rPr>
              <w:t xml:space="preserve">Student </w:t>
            </w:r>
            <w:r w:rsidR="00F056E5">
              <w:rPr>
                <w:sz w:val="28"/>
                <w:szCs w:val="28"/>
              </w:rPr>
              <w:t xml:space="preserve">is able to </w:t>
            </w:r>
            <w:r w:rsidRPr="00FF4C80">
              <w:rPr>
                <w:sz w:val="28"/>
                <w:szCs w:val="28"/>
              </w:rPr>
              <w:t>distinguish between their experiences and the learning that comes from these experiences.  Examples of this distinction appear throughout the portfolio.</w:t>
            </w:r>
          </w:p>
        </w:tc>
        <w:tc>
          <w:tcPr>
            <w:tcW w:w="1260" w:type="dxa"/>
          </w:tcPr>
          <w:p w14:paraId="5FA0BC48" w14:textId="77777777" w:rsidR="00C94AC9" w:rsidRPr="00FF4C80" w:rsidRDefault="00C94AC9">
            <w:pPr>
              <w:rPr>
                <w:sz w:val="28"/>
                <w:szCs w:val="28"/>
              </w:rPr>
            </w:pPr>
          </w:p>
        </w:tc>
      </w:tr>
      <w:tr w:rsidR="005608FB" w:rsidRPr="00FF4C80" w14:paraId="1AF5069E" w14:textId="77777777" w:rsidTr="005608FB">
        <w:tc>
          <w:tcPr>
            <w:tcW w:w="1870" w:type="dxa"/>
          </w:tcPr>
          <w:p w14:paraId="796DD622" w14:textId="4129C4DB" w:rsidR="00C94AC9" w:rsidRPr="00FF4C80" w:rsidRDefault="004003DF">
            <w:pPr>
              <w:rPr>
                <w:b/>
                <w:bCs/>
                <w:sz w:val="28"/>
                <w:szCs w:val="28"/>
              </w:rPr>
            </w:pPr>
            <w:r w:rsidRPr="00FF4C80">
              <w:rPr>
                <w:b/>
                <w:bCs/>
                <w:sz w:val="28"/>
                <w:szCs w:val="28"/>
              </w:rPr>
              <w:t>Understanding of Theory and Practice</w:t>
            </w:r>
          </w:p>
        </w:tc>
        <w:tc>
          <w:tcPr>
            <w:tcW w:w="3345" w:type="dxa"/>
          </w:tcPr>
          <w:p w14:paraId="05BCCAB8" w14:textId="5582274D" w:rsidR="00C94AC9" w:rsidRPr="00FF4C80" w:rsidRDefault="003E26AF">
            <w:pPr>
              <w:rPr>
                <w:sz w:val="28"/>
                <w:szCs w:val="28"/>
              </w:rPr>
            </w:pPr>
            <w:r w:rsidRPr="00FF4C80">
              <w:rPr>
                <w:sz w:val="28"/>
                <w:szCs w:val="28"/>
              </w:rPr>
              <w:t>Student does</w:t>
            </w:r>
            <w:r w:rsidR="00AC3940" w:rsidRPr="00FF4C80">
              <w:rPr>
                <w:sz w:val="28"/>
                <w:szCs w:val="28"/>
              </w:rPr>
              <w:t xml:space="preserve"> not reference any outside theories or practice, doe</w:t>
            </w:r>
            <w:r w:rsidR="00755326" w:rsidRPr="00FF4C80">
              <w:rPr>
                <w:sz w:val="28"/>
                <w:szCs w:val="28"/>
              </w:rPr>
              <w:t>s not provide fact-based experience and only provides general references to concepts.</w:t>
            </w:r>
          </w:p>
        </w:tc>
        <w:tc>
          <w:tcPr>
            <w:tcW w:w="3420" w:type="dxa"/>
          </w:tcPr>
          <w:p w14:paraId="36B9ABC4" w14:textId="0BC14D98" w:rsidR="00C94AC9" w:rsidRPr="00FF4C80" w:rsidRDefault="00CB7A44">
            <w:pPr>
              <w:rPr>
                <w:sz w:val="28"/>
                <w:szCs w:val="28"/>
              </w:rPr>
            </w:pPr>
            <w:r w:rsidRPr="00FF4C80">
              <w:rPr>
                <w:sz w:val="28"/>
                <w:szCs w:val="28"/>
              </w:rPr>
              <w:t>Student relies on facts and experience but does not relate learning to broader concepts or theories.</w:t>
            </w:r>
          </w:p>
        </w:tc>
        <w:tc>
          <w:tcPr>
            <w:tcW w:w="3330" w:type="dxa"/>
          </w:tcPr>
          <w:p w14:paraId="0BFF5D84" w14:textId="02AB8A62" w:rsidR="00C94AC9" w:rsidRPr="00FF4C80" w:rsidRDefault="0089360B">
            <w:pPr>
              <w:rPr>
                <w:sz w:val="28"/>
                <w:szCs w:val="28"/>
              </w:rPr>
            </w:pPr>
            <w:r w:rsidRPr="00FF4C80">
              <w:rPr>
                <w:sz w:val="28"/>
                <w:szCs w:val="28"/>
              </w:rPr>
              <w:t>Student acknowledges a difference between theory and application, but provides few, if any concrete examples.</w:t>
            </w:r>
          </w:p>
        </w:tc>
        <w:tc>
          <w:tcPr>
            <w:tcW w:w="4050" w:type="dxa"/>
          </w:tcPr>
          <w:p w14:paraId="5EB3463A" w14:textId="56035B74" w:rsidR="00C94AC9" w:rsidRPr="00FF4C80" w:rsidRDefault="00751122">
            <w:pPr>
              <w:rPr>
                <w:sz w:val="28"/>
                <w:szCs w:val="28"/>
              </w:rPr>
            </w:pPr>
            <w:r w:rsidRPr="00FF4C80">
              <w:rPr>
                <w:sz w:val="28"/>
                <w:szCs w:val="28"/>
              </w:rPr>
              <w:t>Student demonstrates a balance between application and theory as appropriate to the course, but provides limited concrete examples.</w:t>
            </w:r>
          </w:p>
        </w:tc>
        <w:tc>
          <w:tcPr>
            <w:tcW w:w="3600" w:type="dxa"/>
          </w:tcPr>
          <w:p w14:paraId="1E99FE88" w14:textId="476A4F5E" w:rsidR="00C94AC9" w:rsidRPr="00FF4C80" w:rsidRDefault="00FF4C80">
            <w:pPr>
              <w:rPr>
                <w:sz w:val="28"/>
                <w:szCs w:val="28"/>
              </w:rPr>
            </w:pPr>
            <w:r w:rsidRPr="00FF4C80">
              <w:rPr>
                <w:sz w:val="28"/>
                <w:szCs w:val="28"/>
              </w:rPr>
              <w:t>Student is able to cite broader theoretical or conceptual links that are related to the learning.</w:t>
            </w:r>
          </w:p>
        </w:tc>
        <w:tc>
          <w:tcPr>
            <w:tcW w:w="1260" w:type="dxa"/>
          </w:tcPr>
          <w:p w14:paraId="14C66A9F" w14:textId="77777777" w:rsidR="00C94AC9" w:rsidRPr="00FF4C80" w:rsidRDefault="00C94AC9">
            <w:pPr>
              <w:rPr>
                <w:sz w:val="28"/>
                <w:szCs w:val="28"/>
              </w:rPr>
            </w:pPr>
          </w:p>
        </w:tc>
      </w:tr>
      <w:tr w:rsidR="005608FB" w:rsidRPr="00FF4C80" w14:paraId="6672A0F0" w14:textId="77777777" w:rsidTr="005608FB">
        <w:tc>
          <w:tcPr>
            <w:tcW w:w="1870" w:type="dxa"/>
          </w:tcPr>
          <w:p w14:paraId="450B9F5C" w14:textId="644A79EB" w:rsidR="00C94AC9" w:rsidRPr="00FF4C80" w:rsidRDefault="004003DF">
            <w:pPr>
              <w:rPr>
                <w:b/>
                <w:bCs/>
                <w:sz w:val="28"/>
                <w:szCs w:val="28"/>
              </w:rPr>
            </w:pPr>
            <w:r w:rsidRPr="00FF4C80">
              <w:rPr>
                <w:b/>
                <w:bCs/>
                <w:sz w:val="28"/>
                <w:szCs w:val="28"/>
              </w:rPr>
              <w:t>Reflection</w:t>
            </w:r>
          </w:p>
        </w:tc>
        <w:tc>
          <w:tcPr>
            <w:tcW w:w="3345" w:type="dxa"/>
          </w:tcPr>
          <w:p w14:paraId="69ED5C98" w14:textId="3D48B9BA" w:rsidR="00C94AC9" w:rsidRPr="00FF4C80" w:rsidRDefault="003E26AF">
            <w:pPr>
              <w:rPr>
                <w:sz w:val="28"/>
                <w:szCs w:val="28"/>
              </w:rPr>
            </w:pPr>
            <w:r w:rsidRPr="00FF4C80">
              <w:rPr>
                <w:sz w:val="28"/>
                <w:szCs w:val="28"/>
              </w:rPr>
              <w:t xml:space="preserve">Student does not provide any reflection on their own experiences and </w:t>
            </w:r>
            <w:r w:rsidR="00B50401" w:rsidRPr="00FF4C80">
              <w:rPr>
                <w:sz w:val="28"/>
                <w:szCs w:val="28"/>
              </w:rPr>
              <w:t>learning; simply</w:t>
            </w:r>
            <w:r w:rsidRPr="00FF4C80">
              <w:rPr>
                <w:sz w:val="28"/>
                <w:szCs w:val="28"/>
              </w:rPr>
              <w:t xml:space="preserve"> lists experienc</w:t>
            </w:r>
            <w:r w:rsidR="00B50401" w:rsidRPr="00FF4C80">
              <w:rPr>
                <w:sz w:val="28"/>
                <w:szCs w:val="28"/>
              </w:rPr>
              <w:t>es</w:t>
            </w:r>
            <w:r w:rsidR="00DF1319">
              <w:rPr>
                <w:sz w:val="28"/>
                <w:szCs w:val="28"/>
              </w:rPr>
              <w:t>.</w:t>
            </w:r>
          </w:p>
        </w:tc>
        <w:tc>
          <w:tcPr>
            <w:tcW w:w="3420" w:type="dxa"/>
          </w:tcPr>
          <w:p w14:paraId="52061AB2" w14:textId="64850030" w:rsidR="00C94AC9" w:rsidRPr="00FF4C80" w:rsidRDefault="00995A35">
            <w:pPr>
              <w:rPr>
                <w:sz w:val="28"/>
                <w:szCs w:val="28"/>
              </w:rPr>
            </w:pPr>
            <w:r w:rsidRPr="00FF4C80">
              <w:rPr>
                <w:sz w:val="28"/>
                <w:szCs w:val="28"/>
              </w:rPr>
              <w:t>Student has not demonstrated the ability to apply theor</w:t>
            </w:r>
            <w:r w:rsidR="00EA2C05" w:rsidRPr="00FF4C80">
              <w:rPr>
                <w:sz w:val="28"/>
                <w:szCs w:val="28"/>
              </w:rPr>
              <w:t>y to their own experience.</w:t>
            </w:r>
          </w:p>
        </w:tc>
        <w:tc>
          <w:tcPr>
            <w:tcW w:w="3330" w:type="dxa"/>
          </w:tcPr>
          <w:p w14:paraId="4F3AF295" w14:textId="5B7FAE59" w:rsidR="00C94AC9" w:rsidRPr="00FF4C80" w:rsidRDefault="00FF4C80">
            <w:pPr>
              <w:rPr>
                <w:sz w:val="28"/>
                <w:szCs w:val="28"/>
              </w:rPr>
            </w:pPr>
            <w:r w:rsidRPr="00FF4C80">
              <w:rPr>
                <w:sz w:val="28"/>
                <w:szCs w:val="28"/>
              </w:rPr>
              <w:t>Student includes language appropriate to reflective thinking, but provide few, if any, examples.</w:t>
            </w:r>
          </w:p>
        </w:tc>
        <w:tc>
          <w:tcPr>
            <w:tcW w:w="4050" w:type="dxa"/>
          </w:tcPr>
          <w:p w14:paraId="237928C1" w14:textId="3DA5B061" w:rsidR="00C94AC9" w:rsidRPr="00FF4C80" w:rsidRDefault="00AC2EA7">
            <w:pPr>
              <w:rPr>
                <w:sz w:val="28"/>
                <w:szCs w:val="28"/>
              </w:rPr>
            </w:pPr>
            <w:r>
              <w:rPr>
                <w:sz w:val="28"/>
                <w:szCs w:val="28"/>
              </w:rPr>
              <w:t>Student understands the potential for applying theory to their own experience, and provides limited concrete examples.</w:t>
            </w:r>
          </w:p>
        </w:tc>
        <w:tc>
          <w:tcPr>
            <w:tcW w:w="3600" w:type="dxa"/>
          </w:tcPr>
          <w:p w14:paraId="7A1D39CB" w14:textId="3B496441" w:rsidR="00C94AC9" w:rsidRPr="00FF4C80" w:rsidRDefault="005821F8">
            <w:pPr>
              <w:rPr>
                <w:sz w:val="28"/>
                <w:szCs w:val="28"/>
              </w:rPr>
            </w:pPr>
            <w:r>
              <w:rPr>
                <w:sz w:val="28"/>
                <w:szCs w:val="28"/>
              </w:rPr>
              <w:t>Student demonstrates an ability to apply theory to their own experience, using concrete examples.</w:t>
            </w:r>
          </w:p>
        </w:tc>
        <w:tc>
          <w:tcPr>
            <w:tcW w:w="1260" w:type="dxa"/>
          </w:tcPr>
          <w:p w14:paraId="4E3F1E1A" w14:textId="77777777" w:rsidR="00C94AC9" w:rsidRPr="00FF4C80" w:rsidRDefault="00C94AC9">
            <w:pPr>
              <w:rPr>
                <w:sz w:val="28"/>
                <w:szCs w:val="28"/>
              </w:rPr>
            </w:pPr>
          </w:p>
        </w:tc>
      </w:tr>
      <w:tr w:rsidR="005608FB" w:rsidRPr="00FF4C80" w14:paraId="5FEF3F35" w14:textId="77777777" w:rsidTr="005608FB">
        <w:tc>
          <w:tcPr>
            <w:tcW w:w="1870" w:type="dxa"/>
          </w:tcPr>
          <w:p w14:paraId="5694FAB1" w14:textId="59CB1591" w:rsidR="00C94AC9" w:rsidRPr="00FF4C80" w:rsidRDefault="004003DF">
            <w:pPr>
              <w:rPr>
                <w:b/>
                <w:bCs/>
                <w:sz w:val="28"/>
                <w:szCs w:val="28"/>
              </w:rPr>
            </w:pPr>
            <w:r w:rsidRPr="00FF4C80">
              <w:rPr>
                <w:b/>
                <w:bCs/>
                <w:sz w:val="28"/>
                <w:szCs w:val="28"/>
              </w:rPr>
              <w:t>Learning Application</w:t>
            </w:r>
          </w:p>
        </w:tc>
        <w:tc>
          <w:tcPr>
            <w:tcW w:w="3345" w:type="dxa"/>
          </w:tcPr>
          <w:p w14:paraId="2C623A89" w14:textId="140AD611" w:rsidR="00C94AC9" w:rsidRPr="00FF4C80" w:rsidRDefault="00B50401">
            <w:pPr>
              <w:rPr>
                <w:sz w:val="28"/>
                <w:szCs w:val="28"/>
              </w:rPr>
            </w:pPr>
            <w:r w:rsidRPr="00FF4C80">
              <w:rPr>
                <w:sz w:val="28"/>
                <w:szCs w:val="28"/>
              </w:rPr>
              <w:t>Student has not clearly articulated how learning has been impacted through work and life experience.</w:t>
            </w:r>
          </w:p>
        </w:tc>
        <w:tc>
          <w:tcPr>
            <w:tcW w:w="3420" w:type="dxa"/>
          </w:tcPr>
          <w:p w14:paraId="4F6C5244" w14:textId="5C5D5691" w:rsidR="00C94AC9" w:rsidRPr="00FF4C80" w:rsidRDefault="00EA2C05">
            <w:pPr>
              <w:rPr>
                <w:sz w:val="28"/>
                <w:szCs w:val="28"/>
              </w:rPr>
            </w:pPr>
            <w:r w:rsidRPr="00FF4C80">
              <w:rPr>
                <w:sz w:val="28"/>
                <w:szCs w:val="28"/>
              </w:rPr>
              <w:t xml:space="preserve">Student has not demonstrated that the learning is transferable to other contexts.  Student has not conceptualized that learning extends </w:t>
            </w:r>
            <w:r w:rsidR="00C913B3" w:rsidRPr="00FF4C80">
              <w:rPr>
                <w:sz w:val="28"/>
                <w:szCs w:val="28"/>
              </w:rPr>
              <w:t>beyond the original experience.</w:t>
            </w:r>
          </w:p>
        </w:tc>
        <w:tc>
          <w:tcPr>
            <w:tcW w:w="3330" w:type="dxa"/>
          </w:tcPr>
          <w:p w14:paraId="099CD2E6" w14:textId="5B6B6C1E" w:rsidR="00C94AC9" w:rsidRPr="00FF4C80" w:rsidRDefault="005821F8">
            <w:pPr>
              <w:rPr>
                <w:sz w:val="28"/>
                <w:szCs w:val="28"/>
              </w:rPr>
            </w:pPr>
            <w:r>
              <w:rPr>
                <w:sz w:val="28"/>
                <w:szCs w:val="28"/>
              </w:rPr>
              <w:t>Student understands that the learning is transferable to other contexts, but makes not attempt to do so.</w:t>
            </w:r>
          </w:p>
        </w:tc>
        <w:tc>
          <w:tcPr>
            <w:tcW w:w="4050" w:type="dxa"/>
          </w:tcPr>
          <w:p w14:paraId="60536D03" w14:textId="176AE043" w:rsidR="00C94AC9" w:rsidRPr="00FF4C80" w:rsidRDefault="005821F8">
            <w:pPr>
              <w:rPr>
                <w:sz w:val="28"/>
                <w:szCs w:val="28"/>
              </w:rPr>
            </w:pPr>
            <w:r>
              <w:rPr>
                <w:sz w:val="28"/>
                <w:szCs w:val="28"/>
              </w:rPr>
              <w:t xml:space="preserve">Student understands that the learning is transferable to other contexts, but clearly states that they have not yet had an opportunity to do so, </w:t>
            </w:r>
            <w:r w:rsidR="00B0186A">
              <w:rPr>
                <w:sz w:val="28"/>
                <w:szCs w:val="28"/>
              </w:rPr>
              <w:t>or</w:t>
            </w:r>
            <w:r>
              <w:rPr>
                <w:sz w:val="28"/>
                <w:szCs w:val="28"/>
              </w:rPr>
              <w:t xml:space="preserve"> have not</w:t>
            </w:r>
            <w:r w:rsidR="00341D8E">
              <w:rPr>
                <w:sz w:val="28"/>
                <w:szCs w:val="28"/>
              </w:rPr>
              <w:t xml:space="preserve"> otherwise been able to apply the learning to other environments.</w:t>
            </w:r>
          </w:p>
        </w:tc>
        <w:tc>
          <w:tcPr>
            <w:tcW w:w="3600" w:type="dxa"/>
          </w:tcPr>
          <w:p w14:paraId="638D034B" w14:textId="77777777" w:rsidR="00C94AC9" w:rsidRDefault="00161EB7">
            <w:pPr>
              <w:rPr>
                <w:sz w:val="28"/>
                <w:szCs w:val="28"/>
              </w:rPr>
            </w:pPr>
            <w:r>
              <w:rPr>
                <w:sz w:val="28"/>
                <w:szCs w:val="28"/>
              </w:rPr>
              <w:t>Student demonstrates an ability to apply theory to their own experience, using concrete examples.</w:t>
            </w:r>
          </w:p>
          <w:p w14:paraId="0879500C" w14:textId="77777777" w:rsidR="00BD0499" w:rsidRDefault="00BD0499">
            <w:pPr>
              <w:rPr>
                <w:sz w:val="28"/>
                <w:szCs w:val="28"/>
              </w:rPr>
            </w:pPr>
          </w:p>
          <w:p w14:paraId="7D7E17B4" w14:textId="77777777" w:rsidR="00BD0499" w:rsidRDefault="00BD0499">
            <w:pPr>
              <w:rPr>
                <w:sz w:val="28"/>
                <w:szCs w:val="28"/>
              </w:rPr>
            </w:pPr>
          </w:p>
          <w:p w14:paraId="2FF618D4" w14:textId="77777777" w:rsidR="00BD0499" w:rsidRDefault="00BD0499">
            <w:pPr>
              <w:rPr>
                <w:sz w:val="28"/>
                <w:szCs w:val="28"/>
              </w:rPr>
            </w:pPr>
          </w:p>
          <w:p w14:paraId="583E12F2" w14:textId="77777777" w:rsidR="00BD0499" w:rsidRDefault="00BD0499">
            <w:pPr>
              <w:rPr>
                <w:sz w:val="28"/>
                <w:szCs w:val="28"/>
              </w:rPr>
            </w:pPr>
          </w:p>
          <w:p w14:paraId="7B89F36A" w14:textId="62DB1EC0" w:rsidR="00BD0499" w:rsidRPr="00FF4C80" w:rsidRDefault="00BD0499">
            <w:pPr>
              <w:rPr>
                <w:sz w:val="28"/>
                <w:szCs w:val="28"/>
              </w:rPr>
            </w:pPr>
          </w:p>
        </w:tc>
        <w:tc>
          <w:tcPr>
            <w:tcW w:w="1260" w:type="dxa"/>
          </w:tcPr>
          <w:p w14:paraId="731A5328" w14:textId="77777777" w:rsidR="00C94AC9" w:rsidRDefault="00C94AC9">
            <w:pPr>
              <w:rPr>
                <w:sz w:val="28"/>
                <w:szCs w:val="28"/>
              </w:rPr>
            </w:pPr>
          </w:p>
          <w:p w14:paraId="7E59732E" w14:textId="77777777" w:rsidR="00FF4C80" w:rsidRDefault="00FF4C80">
            <w:pPr>
              <w:rPr>
                <w:sz w:val="28"/>
                <w:szCs w:val="28"/>
              </w:rPr>
            </w:pPr>
          </w:p>
          <w:p w14:paraId="6E223BD2" w14:textId="77777777" w:rsidR="00FF4C80" w:rsidRDefault="00FF4C80">
            <w:pPr>
              <w:rPr>
                <w:sz w:val="28"/>
                <w:szCs w:val="28"/>
              </w:rPr>
            </w:pPr>
          </w:p>
          <w:p w14:paraId="57334258" w14:textId="77777777" w:rsidR="00FF4C80" w:rsidRDefault="00FF4C80">
            <w:pPr>
              <w:rPr>
                <w:sz w:val="28"/>
                <w:szCs w:val="28"/>
              </w:rPr>
            </w:pPr>
          </w:p>
          <w:p w14:paraId="609EEEF6" w14:textId="77777777" w:rsidR="00FF4C80" w:rsidRDefault="00FF4C80">
            <w:pPr>
              <w:rPr>
                <w:sz w:val="28"/>
                <w:szCs w:val="28"/>
              </w:rPr>
            </w:pPr>
          </w:p>
          <w:p w14:paraId="239BE71B" w14:textId="77777777" w:rsidR="00FF4C80" w:rsidRDefault="00FF4C80">
            <w:pPr>
              <w:rPr>
                <w:sz w:val="28"/>
                <w:szCs w:val="28"/>
              </w:rPr>
            </w:pPr>
          </w:p>
          <w:p w14:paraId="5876F648" w14:textId="77777777" w:rsidR="00FF4C80" w:rsidRDefault="00FF4C80">
            <w:pPr>
              <w:rPr>
                <w:sz w:val="28"/>
                <w:szCs w:val="28"/>
              </w:rPr>
            </w:pPr>
          </w:p>
          <w:p w14:paraId="764C15DA" w14:textId="77777777" w:rsidR="00FF4C80" w:rsidRPr="00FF4C80" w:rsidRDefault="00FF4C80">
            <w:pPr>
              <w:rPr>
                <w:sz w:val="28"/>
                <w:szCs w:val="28"/>
              </w:rPr>
            </w:pPr>
          </w:p>
        </w:tc>
      </w:tr>
      <w:tr w:rsidR="005608FB" w:rsidRPr="00FF4C80" w14:paraId="25F84524" w14:textId="77777777" w:rsidTr="005608FB">
        <w:tc>
          <w:tcPr>
            <w:tcW w:w="1870" w:type="dxa"/>
          </w:tcPr>
          <w:p w14:paraId="7858CD8F" w14:textId="248C4213" w:rsidR="00C94AC9" w:rsidRPr="00FF4C80" w:rsidRDefault="00BC59EB">
            <w:pPr>
              <w:rPr>
                <w:b/>
                <w:bCs/>
                <w:sz w:val="28"/>
                <w:szCs w:val="28"/>
              </w:rPr>
            </w:pPr>
            <w:r w:rsidRPr="00FF4C80">
              <w:rPr>
                <w:b/>
                <w:bCs/>
                <w:sz w:val="28"/>
                <w:szCs w:val="28"/>
              </w:rPr>
              <w:lastRenderedPageBreak/>
              <w:t>Communication</w:t>
            </w:r>
          </w:p>
        </w:tc>
        <w:tc>
          <w:tcPr>
            <w:tcW w:w="3345" w:type="dxa"/>
          </w:tcPr>
          <w:p w14:paraId="01D2EA14" w14:textId="084F7DF7" w:rsidR="00C94AC9" w:rsidRPr="00FF4C80" w:rsidRDefault="0096229A">
            <w:pPr>
              <w:rPr>
                <w:sz w:val="28"/>
                <w:szCs w:val="28"/>
              </w:rPr>
            </w:pPr>
            <w:r w:rsidRPr="00FF4C80">
              <w:rPr>
                <w:sz w:val="28"/>
                <w:szCs w:val="28"/>
              </w:rPr>
              <w:t xml:space="preserve">Communication is at or below a </w:t>
            </w:r>
            <w:r w:rsidR="000E29F4" w:rsidRPr="00FF4C80">
              <w:rPr>
                <w:sz w:val="28"/>
                <w:szCs w:val="28"/>
              </w:rPr>
              <w:t>remedial level.  Narrative is disorganized, inarticulate, and has many errors in grammar, spelling, and syntax.</w:t>
            </w:r>
          </w:p>
        </w:tc>
        <w:tc>
          <w:tcPr>
            <w:tcW w:w="3420" w:type="dxa"/>
          </w:tcPr>
          <w:p w14:paraId="136AAFF3" w14:textId="1B732BC4" w:rsidR="00C94AC9" w:rsidRPr="00FF4C80" w:rsidRDefault="00C913B3">
            <w:pPr>
              <w:rPr>
                <w:sz w:val="28"/>
                <w:szCs w:val="28"/>
              </w:rPr>
            </w:pPr>
            <w:r w:rsidRPr="00FF4C80">
              <w:rPr>
                <w:sz w:val="28"/>
                <w:szCs w:val="28"/>
              </w:rPr>
              <w:t xml:space="preserve">Communication is not at a </w:t>
            </w:r>
            <w:r w:rsidR="00BD0499">
              <w:rPr>
                <w:sz w:val="28"/>
                <w:szCs w:val="28"/>
              </w:rPr>
              <w:t>graduate</w:t>
            </w:r>
            <w:r w:rsidRPr="00FF4C80">
              <w:rPr>
                <w:sz w:val="28"/>
                <w:szCs w:val="28"/>
              </w:rPr>
              <w:t xml:space="preserve"> level.  Narrative is unclear and has many errors in grammar, spelling, and syntax.</w:t>
            </w:r>
          </w:p>
        </w:tc>
        <w:tc>
          <w:tcPr>
            <w:tcW w:w="3330" w:type="dxa"/>
          </w:tcPr>
          <w:p w14:paraId="7EECB6F9" w14:textId="2C62BC18" w:rsidR="00C94AC9" w:rsidRPr="00FF4C80" w:rsidRDefault="0093607A">
            <w:pPr>
              <w:rPr>
                <w:sz w:val="28"/>
                <w:szCs w:val="28"/>
              </w:rPr>
            </w:pPr>
            <w:r>
              <w:rPr>
                <w:sz w:val="28"/>
                <w:szCs w:val="28"/>
              </w:rPr>
              <w:t xml:space="preserve">Communication is satisfactory.  Narrative flow may be unclear or may jump around.  Communication features few or weak transitions.  Communication contains </w:t>
            </w:r>
            <w:r w:rsidR="00EE0BC4">
              <w:rPr>
                <w:sz w:val="28"/>
                <w:szCs w:val="28"/>
              </w:rPr>
              <w:t>grammar, spelling, and syntax errors and sometimes is not relevant to the course challenge.</w:t>
            </w:r>
          </w:p>
        </w:tc>
        <w:tc>
          <w:tcPr>
            <w:tcW w:w="4050" w:type="dxa"/>
          </w:tcPr>
          <w:p w14:paraId="5A345A0E" w14:textId="0E607320" w:rsidR="00C94AC9" w:rsidRPr="00FF4C80" w:rsidRDefault="005734B4">
            <w:pPr>
              <w:rPr>
                <w:sz w:val="28"/>
                <w:szCs w:val="28"/>
              </w:rPr>
            </w:pPr>
            <w:r>
              <w:rPr>
                <w:sz w:val="28"/>
                <w:szCs w:val="28"/>
              </w:rPr>
              <w:t xml:space="preserve">Communication is focused and well organized.  </w:t>
            </w:r>
            <w:r w:rsidR="003D4DF8">
              <w:rPr>
                <w:sz w:val="28"/>
                <w:szCs w:val="28"/>
              </w:rPr>
              <w:t xml:space="preserve"> </w:t>
            </w:r>
            <w:r w:rsidR="007834E4">
              <w:rPr>
                <w:sz w:val="28"/>
                <w:szCs w:val="28"/>
              </w:rPr>
              <w:t xml:space="preserve">Communication is relatively free of spelling, grammar, and syntax errors. </w:t>
            </w:r>
            <w:r w:rsidR="003D4DF8">
              <w:rPr>
                <w:sz w:val="28"/>
                <w:szCs w:val="28"/>
              </w:rPr>
              <w:t>Communication is relevant to the learning outcomes being addresses.</w:t>
            </w:r>
          </w:p>
        </w:tc>
        <w:tc>
          <w:tcPr>
            <w:tcW w:w="3600" w:type="dxa"/>
          </w:tcPr>
          <w:p w14:paraId="256F9EA2" w14:textId="056AD78F" w:rsidR="00C94AC9" w:rsidRPr="00FF4C80" w:rsidRDefault="007834E4">
            <w:pPr>
              <w:rPr>
                <w:sz w:val="28"/>
                <w:szCs w:val="28"/>
              </w:rPr>
            </w:pPr>
            <w:r>
              <w:rPr>
                <w:sz w:val="28"/>
                <w:szCs w:val="28"/>
              </w:rPr>
              <w:t xml:space="preserve">Communication, either through the written word or orally (through interview with the </w:t>
            </w:r>
            <w:r w:rsidR="00FB2284">
              <w:rPr>
                <w:sz w:val="28"/>
                <w:szCs w:val="28"/>
              </w:rPr>
              <w:t xml:space="preserve">graduate public administration </w:t>
            </w:r>
            <w:r>
              <w:rPr>
                <w:sz w:val="28"/>
                <w:szCs w:val="28"/>
              </w:rPr>
              <w:t>program’s PLC representative)</w:t>
            </w:r>
            <w:r w:rsidR="000373C9">
              <w:rPr>
                <w:sz w:val="28"/>
                <w:szCs w:val="28"/>
              </w:rPr>
              <w:t>, is at a high level, including strong theses statement</w:t>
            </w:r>
            <w:r w:rsidR="0014133E">
              <w:rPr>
                <w:sz w:val="28"/>
                <w:szCs w:val="28"/>
              </w:rPr>
              <w:t>s, arguments that follow a logical order, and minimal to no syntax errors.  Communication stays tightly focused on the topic being addresses.</w:t>
            </w:r>
          </w:p>
        </w:tc>
        <w:tc>
          <w:tcPr>
            <w:tcW w:w="1260" w:type="dxa"/>
          </w:tcPr>
          <w:p w14:paraId="462574A2" w14:textId="77777777" w:rsidR="00C94AC9" w:rsidRPr="00FF4C80" w:rsidRDefault="00C94AC9">
            <w:pPr>
              <w:rPr>
                <w:sz w:val="28"/>
                <w:szCs w:val="28"/>
              </w:rPr>
            </w:pPr>
          </w:p>
        </w:tc>
      </w:tr>
      <w:tr w:rsidR="005608FB" w:rsidRPr="00FF4C80" w14:paraId="073B6CE5" w14:textId="77777777" w:rsidTr="005608FB">
        <w:tc>
          <w:tcPr>
            <w:tcW w:w="1870" w:type="dxa"/>
          </w:tcPr>
          <w:p w14:paraId="2E6BEEAD" w14:textId="48F46379" w:rsidR="00BC59EB" w:rsidRPr="00FF4C80" w:rsidRDefault="00BC59EB">
            <w:pPr>
              <w:rPr>
                <w:b/>
                <w:bCs/>
                <w:sz w:val="28"/>
                <w:szCs w:val="28"/>
              </w:rPr>
            </w:pPr>
            <w:r w:rsidRPr="00FF4C80">
              <w:rPr>
                <w:b/>
                <w:bCs/>
                <w:sz w:val="28"/>
                <w:szCs w:val="28"/>
              </w:rPr>
              <w:t>Supporting Documentation</w:t>
            </w:r>
          </w:p>
        </w:tc>
        <w:tc>
          <w:tcPr>
            <w:tcW w:w="3345" w:type="dxa"/>
          </w:tcPr>
          <w:p w14:paraId="7DB03E2F" w14:textId="42B72904" w:rsidR="00BC59EB" w:rsidRPr="00FF4C80" w:rsidRDefault="00F87DBE">
            <w:pPr>
              <w:rPr>
                <w:sz w:val="28"/>
                <w:szCs w:val="28"/>
              </w:rPr>
            </w:pPr>
            <w:r w:rsidRPr="00FF4C80">
              <w:rPr>
                <w:sz w:val="28"/>
                <w:szCs w:val="28"/>
              </w:rPr>
              <w:t>Student does not provide any supporting documentation for reference.</w:t>
            </w:r>
          </w:p>
        </w:tc>
        <w:tc>
          <w:tcPr>
            <w:tcW w:w="3420" w:type="dxa"/>
          </w:tcPr>
          <w:p w14:paraId="6D4E7B05" w14:textId="03D60251" w:rsidR="00BC59EB" w:rsidRPr="00FF4C80" w:rsidRDefault="00557A09">
            <w:pPr>
              <w:rPr>
                <w:sz w:val="28"/>
                <w:szCs w:val="28"/>
              </w:rPr>
            </w:pPr>
            <w:r w:rsidRPr="00FF4C80">
              <w:rPr>
                <w:sz w:val="28"/>
                <w:szCs w:val="28"/>
              </w:rPr>
              <w:t>The student has demonstrated an understanding of the connection between the pieces of evidence submitted and the learning acquired.  However, supporting documentation is inserted in portfolio</w:t>
            </w:r>
            <w:r w:rsidR="00CB5FCF" w:rsidRPr="00FF4C80">
              <w:rPr>
                <w:sz w:val="28"/>
                <w:szCs w:val="28"/>
              </w:rPr>
              <w:t xml:space="preserve"> without referencing it elsewhere and seems to be independent of other components of the complete portfolio.</w:t>
            </w:r>
          </w:p>
        </w:tc>
        <w:tc>
          <w:tcPr>
            <w:tcW w:w="3330" w:type="dxa"/>
          </w:tcPr>
          <w:p w14:paraId="76D26905" w14:textId="59F413B8" w:rsidR="00BC59EB" w:rsidRPr="00FF4C80" w:rsidRDefault="005E4118">
            <w:pPr>
              <w:rPr>
                <w:sz w:val="28"/>
                <w:szCs w:val="28"/>
              </w:rPr>
            </w:pPr>
            <w:r w:rsidRPr="00FF4C80">
              <w:rPr>
                <w:sz w:val="28"/>
                <w:szCs w:val="28"/>
              </w:rPr>
              <w:t>The student has demonstrated an understanding of</w:t>
            </w:r>
            <w:r w:rsidR="00836873">
              <w:rPr>
                <w:sz w:val="28"/>
                <w:szCs w:val="28"/>
              </w:rPr>
              <w:t xml:space="preserve"> why individual pieces of documentation have been included in this portfolio submission and how each piece relates to the broader petition and narrative.  Documentation provided is not always relevant to demonstrating the mastery of course outcomes.</w:t>
            </w:r>
          </w:p>
        </w:tc>
        <w:tc>
          <w:tcPr>
            <w:tcW w:w="4050" w:type="dxa"/>
          </w:tcPr>
          <w:p w14:paraId="0113EEEA" w14:textId="79354F7F" w:rsidR="00BC59EB" w:rsidRPr="00FF4C80" w:rsidRDefault="00836873">
            <w:pPr>
              <w:rPr>
                <w:sz w:val="28"/>
                <w:szCs w:val="28"/>
              </w:rPr>
            </w:pPr>
            <w:r>
              <w:rPr>
                <w:sz w:val="28"/>
                <w:szCs w:val="28"/>
              </w:rPr>
              <w:t xml:space="preserve">Evidence provided to support the credit request is relevant to the </w:t>
            </w:r>
            <w:r w:rsidR="00233C49">
              <w:rPr>
                <w:sz w:val="28"/>
                <w:szCs w:val="28"/>
              </w:rPr>
              <w:t>course challenge</w:t>
            </w:r>
            <w:r>
              <w:rPr>
                <w:sz w:val="28"/>
                <w:szCs w:val="28"/>
              </w:rPr>
              <w:t xml:space="preserve"> </w:t>
            </w:r>
            <w:r w:rsidR="006D53FB">
              <w:rPr>
                <w:sz w:val="28"/>
                <w:szCs w:val="28"/>
              </w:rPr>
              <w:t xml:space="preserve">and appropriate for a credit recommendation of </w:t>
            </w:r>
            <w:r w:rsidR="00233C49">
              <w:rPr>
                <w:sz w:val="28"/>
                <w:szCs w:val="28"/>
              </w:rPr>
              <w:t>graduate</w:t>
            </w:r>
            <w:r w:rsidR="006D53FB">
              <w:rPr>
                <w:sz w:val="28"/>
                <w:szCs w:val="28"/>
              </w:rPr>
              <w:t>-level learning.  Some superfluous documentation is included in the credit request.</w:t>
            </w:r>
          </w:p>
        </w:tc>
        <w:tc>
          <w:tcPr>
            <w:tcW w:w="3600" w:type="dxa"/>
          </w:tcPr>
          <w:p w14:paraId="74C1317D" w14:textId="516875E5" w:rsidR="00BC59EB" w:rsidRPr="00FF4C80" w:rsidRDefault="006D53FB">
            <w:pPr>
              <w:rPr>
                <w:sz w:val="28"/>
                <w:szCs w:val="28"/>
              </w:rPr>
            </w:pPr>
            <w:r>
              <w:rPr>
                <w:sz w:val="28"/>
                <w:szCs w:val="28"/>
              </w:rPr>
              <w:t xml:space="preserve">Student has demonstrated an understanding of why individual pieces of documentation have been included in this portfolio </w:t>
            </w:r>
            <w:r w:rsidR="008E0490">
              <w:rPr>
                <w:sz w:val="28"/>
                <w:szCs w:val="28"/>
              </w:rPr>
              <w:t xml:space="preserve">submission and how each piece relates to the broader </w:t>
            </w:r>
            <w:r w:rsidR="00233C49">
              <w:rPr>
                <w:sz w:val="28"/>
                <w:szCs w:val="28"/>
              </w:rPr>
              <w:t>course challenge</w:t>
            </w:r>
            <w:r w:rsidR="008E0490">
              <w:rPr>
                <w:sz w:val="28"/>
                <w:szCs w:val="28"/>
              </w:rPr>
              <w:t xml:space="preserve"> and narrative.  Documentation is appropriate for supporting mastery of the course outcomes.</w:t>
            </w:r>
          </w:p>
        </w:tc>
        <w:tc>
          <w:tcPr>
            <w:tcW w:w="1260" w:type="dxa"/>
          </w:tcPr>
          <w:p w14:paraId="3294883D" w14:textId="77777777" w:rsidR="00BC59EB" w:rsidRPr="00FF4C80" w:rsidRDefault="00BC59EB">
            <w:pPr>
              <w:rPr>
                <w:sz w:val="28"/>
                <w:szCs w:val="28"/>
              </w:rPr>
            </w:pPr>
          </w:p>
        </w:tc>
      </w:tr>
    </w:tbl>
    <w:p w14:paraId="026A9C0C" w14:textId="77777777" w:rsidR="00233C49" w:rsidRDefault="008E0490">
      <w:pPr>
        <w:rPr>
          <w:sz w:val="28"/>
          <w:szCs w:val="28"/>
        </w:rPr>
      </w:pPr>
      <w:r>
        <w:rPr>
          <w:sz w:val="28"/>
          <w:szCs w:val="28"/>
        </w:rPr>
        <w:t xml:space="preserve">Rubric adapted from CAEL for use in </w:t>
      </w:r>
      <w:r w:rsidR="00FA175A">
        <w:rPr>
          <w:sz w:val="28"/>
          <w:szCs w:val="28"/>
        </w:rPr>
        <w:t>the SUNY Buffalo State University PLC determinations</w:t>
      </w:r>
      <w:r w:rsidR="00233C49">
        <w:rPr>
          <w:sz w:val="28"/>
          <w:szCs w:val="28"/>
        </w:rPr>
        <w:t xml:space="preserve"> for course challenges (MPA, Graduate Certificate in Public Management)</w:t>
      </w:r>
      <w:r w:rsidR="00FA175A">
        <w:rPr>
          <w:sz w:val="28"/>
          <w:szCs w:val="28"/>
        </w:rPr>
        <w:t>.</w:t>
      </w:r>
      <w:r w:rsidR="00233C49">
        <w:rPr>
          <w:sz w:val="28"/>
          <w:szCs w:val="28"/>
        </w:rPr>
        <w:t xml:space="preserve"> </w:t>
      </w:r>
    </w:p>
    <w:p w14:paraId="6612ABAC" w14:textId="2B35F9B6" w:rsidR="00C94AC9" w:rsidRPr="00FF4C80" w:rsidRDefault="00233C49">
      <w:pPr>
        <w:rPr>
          <w:sz w:val="28"/>
          <w:szCs w:val="28"/>
        </w:rPr>
      </w:pPr>
      <w:r>
        <w:rPr>
          <w:sz w:val="28"/>
          <w:szCs w:val="28"/>
        </w:rPr>
        <w:t xml:space="preserve">SUNY Buffalo State permits course challenges of up to six (6) graduate credit hours. </w:t>
      </w:r>
      <w:r w:rsidR="00AA5AF2">
        <w:rPr>
          <w:sz w:val="28"/>
          <w:szCs w:val="28"/>
        </w:rPr>
        <w:t xml:space="preserve"> See “</w:t>
      </w:r>
      <w:hyperlink r:id="rId4" w:history="1">
        <w:r w:rsidR="00AA5AF2" w:rsidRPr="00AA5AF2">
          <w:rPr>
            <w:rStyle w:val="Hyperlink"/>
            <w:sz w:val="28"/>
            <w:szCs w:val="28"/>
          </w:rPr>
          <w:t>Alternative Methods of Earning College Credit</w:t>
        </w:r>
      </w:hyperlink>
      <w:r w:rsidR="00AA5AF2">
        <w:rPr>
          <w:sz w:val="28"/>
          <w:szCs w:val="28"/>
        </w:rPr>
        <w:t>.”</w:t>
      </w:r>
      <w:r>
        <w:rPr>
          <w:sz w:val="28"/>
          <w:szCs w:val="28"/>
        </w:rPr>
        <w:br/>
      </w:r>
    </w:p>
    <w:sectPr w:rsidR="00C94AC9" w:rsidRPr="00FF4C80" w:rsidSect="005608FB">
      <w:pgSz w:w="24480" w:h="15840" w:orient="landscape"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C9"/>
    <w:rsid w:val="00013DF8"/>
    <w:rsid w:val="000373C9"/>
    <w:rsid w:val="000E29F4"/>
    <w:rsid w:val="0014133E"/>
    <w:rsid w:val="00143B44"/>
    <w:rsid w:val="00161EB7"/>
    <w:rsid w:val="001640ED"/>
    <w:rsid w:val="00233C49"/>
    <w:rsid w:val="003378C7"/>
    <w:rsid w:val="00341D8E"/>
    <w:rsid w:val="003826B7"/>
    <w:rsid w:val="00387B3F"/>
    <w:rsid w:val="00392160"/>
    <w:rsid w:val="003D4DF8"/>
    <w:rsid w:val="003E26AF"/>
    <w:rsid w:val="004003DF"/>
    <w:rsid w:val="00444D15"/>
    <w:rsid w:val="00546942"/>
    <w:rsid w:val="00552197"/>
    <w:rsid w:val="00557A09"/>
    <w:rsid w:val="005608FB"/>
    <w:rsid w:val="005734B4"/>
    <w:rsid w:val="005821F8"/>
    <w:rsid w:val="005C6F16"/>
    <w:rsid w:val="005E4118"/>
    <w:rsid w:val="00695ABF"/>
    <w:rsid w:val="006D53FB"/>
    <w:rsid w:val="0071664A"/>
    <w:rsid w:val="00751122"/>
    <w:rsid w:val="00755326"/>
    <w:rsid w:val="007834E4"/>
    <w:rsid w:val="00824F4B"/>
    <w:rsid w:val="00836873"/>
    <w:rsid w:val="00846365"/>
    <w:rsid w:val="0089360B"/>
    <w:rsid w:val="008E0490"/>
    <w:rsid w:val="0093607A"/>
    <w:rsid w:val="0096229A"/>
    <w:rsid w:val="009852DA"/>
    <w:rsid w:val="00995A35"/>
    <w:rsid w:val="00A253F6"/>
    <w:rsid w:val="00A345C2"/>
    <w:rsid w:val="00A9295A"/>
    <w:rsid w:val="00AA5AF2"/>
    <w:rsid w:val="00AA69BA"/>
    <w:rsid w:val="00AC2EA7"/>
    <w:rsid w:val="00AC3940"/>
    <w:rsid w:val="00AD6F7F"/>
    <w:rsid w:val="00B0186A"/>
    <w:rsid w:val="00B241EB"/>
    <w:rsid w:val="00B50401"/>
    <w:rsid w:val="00B93CC3"/>
    <w:rsid w:val="00BC59EB"/>
    <w:rsid w:val="00BD0499"/>
    <w:rsid w:val="00C913B3"/>
    <w:rsid w:val="00C94AC9"/>
    <w:rsid w:val="00CB5FCF"/>
    <w:rsid w:val="00CB7A44"/>
    <w:rsid w:val="00DA250E"/>
    <w:rsid w:val="00DF1319"/>
    <w:rsid w:val="00E11A87"/>
    <w:rsid w:val="00E42E8E"/>
    <w:rsid w:val="00E76A4C"/>
    <w:rsid w:val="00EA2C05"/>
    <w:rsid w:val="00EB33E0"/>
    <w:rsid w:val="00EE0BC4"/>
    <w:rsid w:val="00F056E5"/>
    <w:rsid w:val="00F5142E"/>
    <w:rsid w:val="00F87DBE"/>
    <w:rsid w:val="00FA175A"/>
    <w:rsid w:val="00FA616A"/>
    <w:rsid w:val="00FB2284"/>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DAC7"/>
  <w15:chartTrackingRefBased/>
  <w15:docId w15:val="{90F4BD2C-AA4C-4479-9EC0-D0C6F814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C7"/>
    <w:rPr>
      <w:rFonts w:ascii="Times New Roman" w:hAnsi="Times New Roman"/>
      <w:sz w:val="24"/>
    </w:rPr>
  </w:style>
  <w:style w:type="paragraph" w:styleId="Heading1">
    <w:name w:val="heading 1"/>
    <w:basedOn w:val="Normal"/>
    <w:next w:val="Normal"/>
    <w:link w:val="Heading1Char"/>
    <w:autoRedefine/>
    <w:uiPriority w:val="9"/>
    <w:qFormat/>
    <w:rsid w:val="00F5142E"/>
    <w:pPr>
      <w:keepNext/>
      <w:keepLines/>
      <w:spacing w:before="400" w:after="120" w:line="480" w:lineRule="auto"/>
      <w:outlineLvl w:val="0"/>
    </w:pPr>
    <w:rPr>
      <w:b/>
      <w:sz w:val="32"/>
      <w:szCs w:val="28"/>
    </w:rPr>
  </w:style>
  <w:style w:type="paragraph" w:styleId="Heading2">
    <w:name w:val="heading 2"/>
    <w:basedOn w:val="Normal"/>
    <w:next w:val="Normal"/>
    <w:link w:val="Heading2Char"/>
    <w:uiPriority w:val="9"/>
    <w:semiHidden/>
    <w:unhideWhenUsed/>
    <w:qFormat/>
    <w:rsid w:val="00C94A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A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A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94A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94A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4AC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4AC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4AC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42E"/>
    <w:rPr>
      <w:rFonts w:ascii="Times New Roman" w:hAnsi="Times New Roman"/>
      <w:b/>
      <w:sz w:val="32"/>
      <w:szCs w:val="28"/>
    </w:rPr>
  </w:style>
  <w:style w:type="character" w:customStyle="1" w:styleId="Heading2Char">
    <w:name w:val="Heading 2 Char"/>
    <w:basedOn w:val="DefaultParagraphFont"/>
    <w:link w:val="Heading2"/>
    <w:uiPriority w:val="9"/>
    <w:semiHidden/>
    <w:rsid w:val="00C94A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A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AC9"/>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C94AC9"/>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C94AC9"/>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C94AC9"/>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C94AC9"/>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C94AC9"/>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C94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AC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AC9"/>
    <w:pPr>
      <w:spacing w:before="160"/>
      <w:jc w:val="center"/>
    </w:pPr>
    <w:rPr>
      <w:i/>
      <w:iCs/>
      <w:color w:val="404040" w:themeColor="text1" w:themeTint="BF"/>
    </w:rPr>
  </w:style>
  <w:style w:type="character" w:customStyle="1" w:styleId="QuoteChar">
    <w:name w:val="Quote Char"/>
    <w:basedOn w:val="DefaultParagraphFont"/>
    <w:link w:val="Quote"/>
    <w:uiPriority w:val="29"/>
    <w:rsid w:val="00C94AC9"/>
    <w:rPr>
      <w:rFonts w:ascii="Times New Roman" w:hAnsi="Times New Roman"/>
      <w:i/>
      <w:iCs/>
      <w:color w:val="404040" w:themeColor="text1" w:themeTint="BF"/>
      <w:sz w:val="24"/>
    </w:rPr>
  </w:style>
  <w:style w:type="paragraph" w:styleId="ListParagraph">
    <w:name w:val="List Paragraph"/>
    <w:basedOn w:val="Normal"/>
    <w:uiPriority w:val="34"/>
    <w:qFormat/>
    <w:rsid w:val="00C94AC9"/>
    <w:pPr>
      <w:ind w:left="720"/>
      <w:contextualSpacing/>
    </w:pPr>
  </w:style>
  <w:style w:type="character" w:styleId="IntenseEmphasis">
    <w:name w:val="Intense Emphasis"/>
    <w:basedOn w:val="DefaultParagraphFont"/>
    <w:uiPriority w:val="21"/>
    <w:qFormat/>
    <w:rsid w:val="00C94AC9"/>
    <w:rPr>
      <w:i/>
      <w:iCs/>
      <w:color w:val="0F4761" w:themeColor="accent1" w:themeShade="BF"/>
    </w:rPr>
  </w:style>
  <w:style w:type="paragraph" w:styleId="IntenseQuote">
    <w:name w:val="Intense Quote"/>
    <w:basedOn w:val="Normal"/>
    <w:next w:val="Normal"/>
    <w:link w:val="IntenseQuoteChar"/>
    <w:uiPriority w:val="30"/>
    <w:qFormat/>
    <w:rsid w:val="00C94A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AC9"/>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C94AC9"/>
    <w:rPr>
      <w:b/>
      <w:bCs/>
      <w:smallCaps/>
      <w:color w:val="0F4761" w:themeColor="accent1" w:themeShade="BF"/>
      <w:spacing w:val="5"/>
    </w:rPr>
  </w:style>
  <w:style w:type="table" w:styleId="TableGrid">
    <w:name w:val="Table Grid"/>
    <w:basedOn w:val="TableNormal"/>
    <w:uiPriority w:val="39"/>
    <w:rsid w:val="00C9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5AF2"/>
    <w:rPr>
      <w:color w:val="467886" w:themeColor="hyperlink"/>
      <w:u w:val="single"/>
    </w:rPr>
  </w:style>
  <w:style w:type="character" w:styleId="UnresolvedMention">
    <w:name w:val="Unresolved Mention"/>
    <w:basedOn w:val="DefaultParagraphFont"/>
    <w:uiPriority w:val="99"/>
    <w:semiHidden/>
    <w:unhideWhenUsed/>
    <w:rsid w:val="00AA5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atalog.buffalostate.edu/undergraduate/academic-policies/alternative-methods-earning-college-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 SS</dc:creator>
  <cp:keywords/>
  <dc:description/>
  <cp:lastModifiedBy>LB SS</cp:lastModifiedBy>
  <cp:revision>2</cp:revision>
  <dcterms:created xsi:type="dcterms:W3CDTF">2024-12-13T21:47:00Z</dcterms:created>
  <dcterms:modified xsi:type="dcterms:W3CDTF">2024-12-13T21:47:00Z</dcterms:modified>
</cp:coreProperties>
</file>